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4EA" w:rsidRDefault="00CD14E3">
      <w:pPr>
        <w:spacing w:after="0" w:line="259" w:lineRule="auto"/>
        <w:ind w:left="0" w:right="6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FICHA DE LA ASIGNATURA </w:t>
      </w:r>
    </w:p>
    <w:p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285" w:type="dxa"/>
        <w:tblInd w:w="-107" w:type="dxa"/>
        <w:tblCellMar>
          <w:top w:w="3" w:type="dxa"/>
          <w:left w:w="107" w:type="dxa"/>
          <w:right w:w="47" w:type="dxa"/>
        </w:tblCellMar>
        <w:tblLook w:val="04A0" w:firstRow="1" w:lastRow="0" w:firstColumn="1" w:lastColumn="0" w:noHBand="0" w:noVBand="1"/>
      </w:tblPr>
      <w:tblGrid>
        <w:gridCol w:w="7762"/>
        <w:gridCol w:w="1523"/>
      </w:tblGrid>
      <w:tr w:rsidR="00D914EA">
        <w:trPr>
          <w:trHeight w:val="552"/>
        </w:trPr>
        <w:tc>
          <w:tcPr>
            <w:tcW w:w="7762" w:type="dxa"/>
            <w:tcBorders>
              <w:top w:val="single" w:sz="4" w:space="0" w:color="00000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FFFF00"/>
            <w:vAlign w:val="center"/>
          </w:tcPr>
          <w:p w:rsidR="00D914EA" w:rsidRDefault="00CD14E3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  <w:color w:val="000080"/>
              </w:rPr>
              <w:t xml:space="preserve">Nombre de la Asignatura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C0C0C0"/>
              <w:bottom w:val="nil"/>
              <w:right w:val="single" w:sz="4" w:space="0" w:color="000000"/>
            </w:tcBorders>
            <w:shd w:val="clear" w:color="auto" w:fill="FFFF00"/>
          </w:tcPr>
          <w:p w:rsidR="00D914EA" w:rsidRDefault="00CD14E3">
            <w:pPr>
              <w:spacing w:after="60" w:line="259" w:lineRule="auto"/>
              <w:ind w:left="0" w:right="16" w:firstLine="0"/>
              <w:jc w:val="center"/>
            </w:pPr>
            <w:r>
              <w:rPr>
                <w:b/>
                <w:color w:val="000080"/>
                <w:sz w:val="16"/>
              </w:rPr>
              <w:t xml:space="preserve"> </w:t>
            </w:r>
          </w:p>
          <w:p w:rsidR="00D914EA" w:rsidRDefault="00CD14E3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color w:val="000080"/>
              </w:rPr>
              <w:t xml:space="preserve">Código </w:t>
            </w:r>
          </w:p>
        </w:tc>
      </w:tr>
      <w:tr w:rsidR="00D914EA">
        <w:trPr>
          <w:trHeight w:val="866"/>
        </w:trPr>
        <w:tc>
          <w:tcPr>
            <w:tcW w:w="7762" w:type="dxa"/>
            <w:tcBorders>
              <w:top w:val="nil"/>
              <w:left w:val="single" w:sz="4" w:space="0" w:color="C0C0C0"/>
              <w:bottom w:val="double" w:sz="4" w:space="0" w:color="000000"/>
              <w:right w:val="single" w:sz="4" w:space="0" w:color="C0C0C0"/>
            </w:tcBorders>
          </w:tcPr>
          <w:p w:rsidR="00D914EA" w:rsidRPr="0044401B" w:rsidRDefault="0044401B" w:rsidP="0044401B">
            <w:pPr>
              <w:spacing w:after="19" w:line="259" w:lineRule="auto"/>
              <w:ind w:left="0" w:right="0" w:firstLine="0"/>
              <w:jc w:val="center"/>
              <w:rPr>
                <w:b/>
              </w:rPr>
            </w:pPr>
            <w:r w:rsidRPr="0044401B">
              <w:rPr>
                <w:b/>
                <w:color w:val="000080"/>
              </w:rPr>
              <w:t>ESTIMACIÓN EN PRESENCIA DE ERRORES AJENOS AL MUESTREO</w:t>
            </w:r>
          </w:p>
        </w:tc>
        <w:tc>
          <w:tcPr>
            <w:tcW w:w="1523" w:type="dxa"/>
            <w:tcBorders>
              <w:top w:val="nil"/>
              <w:left w:val="single" w:sz="4" w:space="0" w:color="C0C0C0"/>
              <w:bottom w:val="double" w:sz="4" w:space="0" w:color="000000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6" w:firstLine="0"/>
              <w:jc w:val="center"/>
            </w:pPr>
            <w:r>
              <w:rPr>
                <w:color w:val="000081"/>
              </w:rPr>
              <w:t xml:space="preserve"> </w:t>
            </w:r>
          </w:p>
          <w:p w:rsidR="00D914EA" w:rsidRDefault="00CD14E3">
            <w:pPr>
              <w:spacing w:after="0" w:line="259" w:lineRule="auto"/>
              <w:ind w:left="8" w:right="0" w:firstLine="0"/>
              <w:jc w:val="left"/>
            </w:pPr>
            <w:r>
              <w:t xml:space="preserve">(no rellenar) </w:t>
            </w:r>
          </w:p>
        </w:tc>
      </w:tr>
    </w:tbl>
    <w:p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286" w:type="dxa"/>
        <w:tblInd w:w="-107" w:type="dxa"/>
        <w:tblCellMar>
          <w:top w:w="8" w:type="dxa"/>
          <w:left w:w="107" w:type="dxa"/>
          <w:bottom w:w="10" w:type="dxa"/>
          <w:right w:w="43" w:type="dxa"/>
        </w:tblCellMar>
        <w:tblLook w:val="04A0" w:firstRow="1" w:lastRow="0" w:firstColumn="1" w:lastColumn="0" w:noHBand="0" w:noVBand="1"/>
      </w:tblPr>
      <w:tblGrid>
        <w:gridCol w:w="2658"/>
        <w:gridCol w:w="6628"/>
      </w:tblGrid>
      <w:tr w:rsidR="00D914EA">
        <w:trPr>
          <w:trHeight w:val="704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Módulo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4EA" w:rsidRPr="0044401B" w:rsidRDefault="0044401B" w:rsidP="0044401B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 w:rsidRPr="0044401B">
              <w:rPr>
                <w:b/>
              </w:rPr>
              <w:t>lll</w:t>
            </w:r>
          </w:p>
        </w:tc>
      </w:tr>
      <w:tr w:rsidR="00D914EA">
        <w:trPr>
          <w:trHeight w:val="706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Materia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4EA" w:rsidRPr="0044401B" w:rsidRDefault="0044401B" w:rsidP="0044401B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 w:rsidRPr="0044401B">
              <w:rPr>
                <w:b/>
              </w:rPr>
              <w:t>FORMACIÓN AVANZADA EN TÉCNICAS ESTADÍSTICAS</w:t>
            </w:r>
          </w:p>
        </w:tc>
      </w:tr>
      <w:tr w:rsidR="00D914EA">
        <w:trPr>
          <w:trHeight w:val="706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:rsidR="00D914EA" w:rsidRDefault="00CD14E3">
            <w:pPr>
              <w:spacing w:after="0" w:line="259" w:lineRule="auto"/>
              <w:ind w:left="0" w:right="0" w:firstLine="0"/>
            </w:pPr>
            <w:r>
              <w:rPr>
                <w:b/>
                <w:color w:val="000080"/>
                <w:sz w:val="22"/>
              </w:rPr>
              <w:t xml:space="preserve">Créditos para alumnos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4EA" w:rsidRPr="0044401B" w:rsidRDefault="0044401B">
            <w:pPr>
              <w:spacing w:after="0" w:line="259" w:lineRule="auto"/>
              <w:ind w:left="1" w:right="0" w:firstLine="0"/>
              <w:jc w:val="left"/>
              <w:rPr>
                <w:b/>
              </w:rPr>
            </w:pPr>
            <w:r w:rsidRPr="0044401B">
              <w:rPr>
                <w:b/>
              </w:rPr>
              <w:t>3 ECTS</w:t>
            </w:r>
          </w:p>
        </w:tc>
      </w:tr>
      <w:tr w:rsidR="00D914EA">
        <w:trPr>
          <w:trHeight w:val="706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Carácter </w:t>
            </w:r>
            <w:r>
              <w:rPr>
                <w:color w:val="000080"/>
                <w:vertAlign w:val="superscript"/>
              </w:rPr>
              <w:t xml:space="preserve">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4EA" w:rsidRPr="0044401B" w:rsidRDefault="00CD14E3">
            <w:pPr>
              <w:spacing w:after="0" w:line="259" w:lineRule="auto"/>
              <w:ind w:left="1" w:right="0" w:firstLine="0"/>
              <w:jc w:val="left"/>
              <w:rPr>
                <w:b/>
              </w:rPr>
            </w:pPr>
            <w:r w:rsidRPr="0044401B">
              <w:rPr>
                <w:b/>
              </w:rPr>
              <w:t>OBLIGA</w:t>
            </w:r>
            <w:r w:rsidR="0044401B" w:rsidRPr="0044401B">
              <w:rPr>
                <w:b/>
              </w:rPr>
              <w:t xml:space="preserve">TORIA </w:t>
            </w:r>
          </w:p>
        </w:tc>
      </w:tr>
      <w:tr w:rsidR="00D914EA">
        <w:trPr>
          <w:trHeight w:val="683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Prerrequisitos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914EA" w:rsidRDefault="00CD14E3">
            <w:pPr>
              <w:spacing w:after="0" w:line="259" w:lineRule="auto"/>
              <w:ind w:left="1" w:right="0" w:firstLine="0"/>
            </w:pPr>
            <w:r>
              <w:t>Alumnos que han cursado alguna licenciatura o grado en ciencias sociales o humanas</w:t>
            </w:r>
            <w:r>
              <w:rPr>
                <w:sz w:val="13"/>
              </w:rPr>
              <w:t>.</w:t>
            </w:r>
            <w:r>
              <w:rPr>
                <w:b/>
              </w:rPr>
              <w:t xml:space="preserve"> </w:t>
            </w:r>
          </w:p>
        </w:tc>
      </w:tr>
      <w:tr w:rsidR="00D914EA">
        <w:trPr>
          <w:trHeight w:val="592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Idioma/s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4EA" w:rsidRPr="0044401B" w:rsidRDefault="0044401B">
            <w:pPr>
              <w:spacing w:after="0" w:line="259" w:lineRule="auto"/>
              <w:ind w:left="1" w:right="0" w:firstLine="0"/>
              <w:jc w:val="left"/>
              <w:rPr>
                <w:b/>
              </w:rPr>
            </w:pPr>
            <w:r w:rsidRPr="0044401B">
              <w:rPr>
                <w:b/>
              </w:rPr>
              <w:t>CASTELLANO</w:t>
            </w:r>
          </w:p>
        </w:tc>
      </w:tr>
      <w:tr w:rsidR="00D914EA">
        <w:trPr>
          <w:trHeight w:val="838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Recomendaciones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1" w:right="67" w:firstLine="0"/>
            </w:pPr>
            <w:r>
              <w:t xml:space="preserve">Conocimientos básicos de estadística descriptiva, teoría de la probabilidad, distribuciones de probabilidad discretas y continuas e inferencia estadística </w:t>
            </w:r>
          </w:p>
        </w:tc>
      </w:tr>
      <w:tr w:rsidR="00D914EA">
        <w:trPr>
          <w:trHeight w:val="1046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Descriptores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</w:tr>
    </w:tbl>
    <w:p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:rsidR="00D914EA" w:rsidRDefault="00CD14E3">
      <w:pPr>
        <w:pStyle w:val="Ttulo1"/>
      </w:pPr>
      <w:r>
        <w:t xml:space="preserve">PROFESORES RESPONSABLES </w:t>
      </w:r>
    </w:p>
    <w:p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356" w:type="dxa"/>
        <w:tblInd w:w="-140" w:type="dxa"/>
        <w:tblCellMar>
          <w:top w:w="8" w:type="dxa"/>
          <w:left w:w="121" w:type="dxa"/>
          <w:bottom w:w="8" w:type="dxa"/>
          <w:right w:w="95" w:type="dxa"/>
        </w:tblCellMar>
        <w:tblLook w:val="04A0" w:firstRow="1" w:lastRow="0" w:firstColumn="1" w:lastColumn="0" w:noHBand="0" w:noVBand="1"/>
      </w:tblPr>
      <w:tblGrid>
        <w:gridCol w:w="1561"/>
        <w:gridCol w:w="2691"/>
        <w:gridCol w:w="5104"/>
      </w:tblGrid>
      <w:tr w:rsidR="00D914EA">
        <w:trPr>
          <w:trHeight w:val="589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C0C0C0"/>
            </w:tcBorders>
            <w:shd w:val="clear" w:color="auto" w:fill="CCECFF"/>
            <w:vAlign w:val="bottom"/>
          </w:tcPr>
          <w:p w:rsidR="00D914EA" w:rsidRDefault="00CD14E3">
            <w:pPr>
              <w:spacing w:after="0" w:line="259" w:lineRule="auto"/>
              <w:ind w:left="31" w:right="0" w:firstLine="0"/>
              <w:jc w:val="center"/>
            </w:pPr>
            <w:r>
              <w:rPr>
                <w:color w:val="000080"/>
                <w:sz w:val="22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shd w:val="clear" w:color="auto" w:fill="FFCC66"/>
            <w:vAlign w:val="bottom"/>
          </w:tcPr>
          <w:p w:rsidR="00D914EA" w:rsidRDefault="00CD14E3">
            <w:pPr>
              <w:spacing w:after="0" w:line="259" w:lineRule="auto"/>
              <w:ind w:left="0" w:right="134" w:firstLine="0"/>
              <w:jc w:val="center"/>
            </w:pPr>
            <w:r>
              <w:rPr>
                <w:b/>
                <w:color w:val="000080"/>
                <w:sz w:val="22"/>
              </w:rPr>
              <w:t>Profesor</w:t>
            </w:r>
            <w:r>
              <w:rPr>
                <w:color w:val="000080"/>
                <w:sz w:val="22"/>
              </w:rPr>
              <w:t xml:space="preserve">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bottom"/>
          </w:tcPr>
          <w:p w:rsidR="00D914EA" w:rsidRDefault="00CD14E3">
            <w:pPr>
              <w:spacing w:after="0" w:line="259" w:lineRule="auto"/>
              <w:ind w:left="0" w:right="28" w:firstLine="0"/>
              <w:jc w:val="center"/>
            </w:pPr>
            <w:r>
              <w:rPr>
                <w:b/>
                <w:color w:val="000080"/>
                <w:sz w:val="22"/>
              </w:rPr>
              <w:t xml:space="preserve">e-mail </w:t>
            </w:r>
          </w:p>
        </w:tc>
      </w:tr>
      <w:tr w:rsidR="00D914EA">
        <w:trPr>
          <w:trHeight w:val="682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C0C0C0"/>
            </w:tcBorders>
            <w:shd w:val="clear" w:color="auto" w:fill="CCECFF"/>
            <w:vAlign w:val="bottom"/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  <w:sz w:val="22"/>
              </w:rPr>
              <w:t xml:space="preserve">coordinador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bottom"/>
          </w:tcPr>
          <w:p w:rsidR="00D914EA" w:rsidRDefault="00CD14E3">
            <w:pPr>
              <w:spacing w:after="0" w:line="259" w:lineRule="auto"/>
              <w:ind w:left="0" w:right="0" w:firstLine="0"/>
              <w:jc w:val="center"/>
            </w:pPr>
            <w:r>
              <w:t xml:space="preserve">Juan Luis Peñaloza Figueroa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26" w:firstLine="0"/>
              <w:jc w:val="center"/>
            </w:pPr>
            <w:r>
              <w:t xml:space="preserve">jluispf@ucm.es </w:t>
            </w:r>
          </w:p>
        </w:tc>
      </w:tr>
      <w:tr w:rsidR="00D914EA">
        <w:trPr>
          <w:trHeight w:val="68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CCECFF"/>
            <w:vAlign w:val="bottom"/>
          </w:tcPr>
          <w:p w:rsidR="00D914EA" w:rsidRDefault="00CD14E3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color w:val="000080"/>
                <w:sz w:val="22"/>
              </w:rPr>
              <w:t xml:space="preserve">Profesor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:rsidR="00D914EA" w:rsidRDefault="00CD14E3">
            <w:pPr>
              <w:spacing w:after="0" w:line="259" w:lineRule="auto"/>
              <w:ind w:left="0" w:right="0" w:firstLine="0"/>
              <w:jc w:val="center"/>
            </w:pPr>
            <w:r>
              <w:t xml:space="preserve">Juan Luis Peñaloza Figueroa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26" w:firstLine="0"/>
              <w:jc w:val="center"/>
            </w:pPr>
            <w:r>
              <w:t xml:space="preserve">jluispf@ucm.es </w:t>
            </w:r>
          </w:p>
        </w:tc>
      </w:tr>
    </w:tbl>
    <w:p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:rsidR="00D914EA" w:rsidRDefault="00CD14E3">
      <w:pPr>
        <w:pStyle w:val="Ttulo1"/>
        <w:spacing w:after="219"/>
        <w:ind w:right="3"/>
      </w:pPr>
      <w:r>
        <w:t xml:space="preserve">OBJETIVOS DE LA ASIGNATURA </w:t>
      </w:r>
    </w:p>
    <w:p w:rsidR="00D914EA" w:rsidRDefault="00CD14E3">
      <w:pPr>
        <w:spacing w:after="230"/>
        <w:ind w:left="-5" w:right="0"/>
      </w:pPr>
      <w:r>
        <w:t xml:space="preserve">El objetivo de la asignatura es proporcionar formación complementaria en estadística a aquellos alumnos cuya área de especialización sean las ciencias sociales y humanas. En particular, se proporcionará una introducción a la estadística aplicada en la que los alumnos se familiarizarán con las principales técnicas de análisis.  </w:t>
      </w:r>
    </w:p>
    <w:p w:rsidR="00D914EA" w:rsidRDefault="00CD14E3">
      <w:pPr>
        <w:spacing w:after="0" w:line="259" w:lineRule="auto"/>
        <w:ind w:left="0" w:right="0" w:firstLine="0"/>
        <w:jc w:val="left"/>
      </w:pPr>
      <w:r>
        <w:lastRenderedPageBreak/>
        <w:t xml:space="preserve"> </w:t>
      </w:r>
      <w:r>
        <w:tab/>
        <w:t xml:space="preserve"> </w:t>
      </w:r>
    </w:p>
    <w:p w:rsidR="00D914EA" w:rsidRDefault="00CD14E3">
      <w:pPr>
        <w:pStyle w:val="Ttulo1"/>
        <w:ind w:right="3"/>
      </w:pPr>
      <w:r>
        <w:t xml:space="preserve">COMPETENCIAS DE LA ASIGNATURA </w:t>
      </w:r>
    </w:p>
    <w:p w:rsidR="00BB6EFA" w:rsidRDefault="00CD14E3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rFonts w:ascii="Times New Roman" w:eastAsia="Times New Roman" w:hAnsi="Times New Roman" w:cs="Times New Roman"/>
          <w:sz w:val="16"/>
        </w:rPr>
        <w:t xml:space="preserve"> </w:t>
      </w:r>
      <w:r w:rsidR="0044401B">
        <w:rPr>
          <w:color w:val="222222"/>
          <w:shd w:val="clear" w:color="auto" w:fill="FFFFFF"/>
        </w:rPr>
        <w:t>COMPETENCIAS BÁSICAS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</w:rPr>
        <w:br/>
      </w:r>
      <w:r>
        <w:rPr>
          <w:color w:val="222222"/>
          <w:shd w:val="clear" w:color="auto" w:fill="FFFFFF"/>
        </w:rPr>
        <w:t>CB6 - Poseer y comprender conocimientos que aporten una base u oportunidad de ser originales en el desarrollo y/o aplicación de ideas, a menudo en un contexto de investigación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CB7 - Que los estudiantes sepan aplicar los conocimientos adquiridos y su capacidad de resolución de problemas en entornos nuevos o poco conocidos dentro de contextos más amplios (o multidisciplinares) relacionados con su área de estudio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CB8 - Que los estudiantes sean capaces de integrar conocimientos y enfrentarse a la complejidad de formular juicios a partir de una información que, siendo incompleta o limitada, incluya reflexiones sobre las responsabilidades sociales y éticas vinculadas a la aplicación de sus conocimientos y juicios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CB9 - Que los estudiantes sepan comunicar sus conclusiones y los conocimientos y razones últimas que las sustentan a públicos especializados y no especializados de un modo claro y sin ambigüedades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CB10 - Que los estudiantes posean las habilidades de aprendizaje que les permitan continuar estudiando de un modo que habrá de ser en gran medida autodirigido o autónomo.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</w:rPr>
        <w:br/>
      </w:r>
      <w:r>
        <w:rPr>
          <w:color w:val="222222"/>
          <w:shd w:val="clear" w:color="auto" w:fill="FFFFFF"/>
        </w:rPr>
        <w:t>COMPETENCIAS GENERALES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</w:rPr>
        <w:br/>
      </w:r>
      <w:r>
        <w:rPr>
          <w:color w:val="222222"/>
          <w:shd w:val="clear" w:color="auto" w:fill="FFFFFF"/>
        </w:rPr>
        <w:t>CG1 - Conocer y utilizar las Tecnologías de la Información y la Comunicación aplicadas al análisis de las Estadísticas Oficiales e Indicadores Sociales y Económicos.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CG2 - Conocer y aplicar la normativa y regulación local, autonómica, nacional e internacional en el ámbito de las Estadísticas Oficiales e Indicadores Sociales y Económicos.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CG3 - Comprender y ser capaz de aplicar las herramientas básicas de investigación en el ámbito de las Estadísticas Oficiales e Indicadores Sociales y Económicos.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CG4 - Comprender, analizar y evaluar teorías, resultados y desarrollos en el idioma de referencia, además de en la lengua materna, en el ámbito de las Estadísticas Oficiales e Indicadores Sociales y Económicos.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CG5 - Poseer conocimientos racionales y críticos en el estudio de las Estadísticas Oficiales e Indicadores Sociales y Económicos.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CG6 - Conocer los métodos, técnicas e instrumentos de análisis para el estudio de las Estadísticas Oficiales e Indicadores Sociales y Económicos.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CG7 - Capacidad para encontrar soluciones alternativas en el planteamiento de un problema o en la utilización de Estadísticas Oficiales e Indicadores Sociales y Económicos.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lastRenderedPageBreak/>
        <w:t>CG8 - Conocer los fundamentos y las implicaciones económicas de los procesos de producción y aplicación de las Estadísticas Oficiales e Indicadores Sociales y Económicos.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CG9 - Resolver casos prácticos conforme al análisis de las Estadísticas Oficiales e Indicadores Sociales y Económicos, lo que implica la elaboración previa de material, la identificación de cuestiones problemáticas, la selección, interpretación y la exposición argumentada de las Estadísticas Oficiales e Indicadores Sociales y Económicos.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CG10 - Estructurar el proceso de análisis de un problema con elementos aleatorios en el análisis de las Estadísticas Oficiales e Indicadores Sociales y Económicos.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</w:rPr>
        <w:br/>
      </w:r>
      <w:r>
        <w:rPr>
          <w:color w:val="222222"/>
          <w:shd w:val="clear" w:color="auto" w:fill="FFFFFF"/>
        </w:rPr>
        <w:t>COMPETENCIAS TRANSVERSALES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</w:rPr>
        <w:br/>
      </w:r>
      <w:r>
        <w:rPr>
          <w:color w:val="222222"/>
          <w:shd w:val="clear" w:color="auto" w:fill="FFFFFF"/>
        </w:rPr>
        <w:t>CT1 - Conocer y desarrollar el respeto y la promoción de los Derechos Humanos, de los Derechos Fundamentales, de la cultura de paz y la conciencia democrática, de los mecanismos básicos para la participación ciudadana y de una actitud para la sostenibilidad ambiental y el consumo responsable.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CT2 - Conocer y aplicar las políticas y prácticas de atención a colectivos sociales especialmente desfavorecidos e incorporar los principios de igualdad entre hombres y mujeres y de accesibilidad universal y diseño adaptado para todos a su ámbito de estudio.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CT3 - Conocer y aplicar las herramientas para la búsqueda activa de empleo y el desarrollo de proyectos de emprendimiento, aplicando sus conocimientos al ejercicio profesional.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CT4 - Desarrollar las aptitudes para el trabajo cooperativo y la participación en equipos, las habilidades de negociación e incorporar los valores de cooperación, esfuerzo, respeto y compromiso con la búsqueda de la calidad como signo de identidad.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CT6 - Analizar, razonar críticamente, pensar con creatividad y evaluar el propio proceso de aprendizaje discutiendo asertiva y estructuradamente las ideas propias y ajenas, ejerciendo auténtico espíritu de liderazgo.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</w:rPr>
        <w:br/>
      </w:r>
      <w:r>
        <w:rPr>
          <w:color w:val="222222"/>
          <w:shd w:val="clear" w:color="auto" w:fill="FFFFFF"/>
        </w:rPr>
        <w:t>COMPETENCIAS ESPECÍFICAS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</w:rPr>
        <w:br/>
      </w:r>
      <w:r>
        <w:rPr>
          <w:color w:val="222222"/>
          <w:shd w:val="clear" w:color="auto" w:fill="FFFFFF"/>
        </w:rPr>
        <w:t>CE13 - Manejar de forma avanzada las herramientas informáticas para el tratamiento y la representación de datos oficiales.</w:t>
      </w:r>
    </w:p>
    <w:p w:rsidR="00BB6EFA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CE14 - Conocer, manejar y aplicar tanto las técnicas estadísticas más recientes como con las tendencias de desarrollo futuro del análisis cuantitativo.</w:t>
      </w:r>
    </w:p>
    <w:p w:rsidR="0044401B" w:rsidRDefault="0044401B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CE18 - Desarrollar las capacidades necesarias para valorar, evaluar y diseñar instrumentos de medición cuantitativa.</w:t>
      </w:r>
    </w:p>
    <w:p w:rsidR="00BB6EFA" w:rsidRDefault="00BB6EFA" w:rsidP="00BB6EFA">
      <w:pPr>
        <w:spacing w:after="61" w:line="259" w:lineRule="auto"/>
        <w:ind w:left="0" w:right="0" w:firstLine="0"/>
        <w:rPr>
          <w:color w:val="222222"/>
          <w:shd w:val="clear" w:color="auto" w:fill="FFFFFF"/>
        </w:rPr>
      </w:pPr>
    </w:p>
    <w:p w:rsidR="00BB6EFA" w:rsidRDefault="00BB6EFA" w:rsidP="00BB6EFA">
      <w:pPr>
        <w:spacing w:after="61" w:line="259" w:lineRule="auto"/>
        <w:ind w:left="0" w:right="0" w:firstLine="0"/>
      </w:pPr>
    </w:p>
    <w:p w:rsidR="00D914EA" w:rsidRDefault="00CD14E3">
      <w:pPr>
        <w:pStyle w:val="Ttulo1"/>
        <w:spacing w:after="218"/>
      </w:pPr>
      <w:r>
        <w:lastRenderedPageBreak/>
        <w:t xml:space="preserve">CONTENIDOS TEMÁTICOS </w:t>
      </w:r>
    </w:p>
    <w:p w:rsidR="00D914EA" w:rsidRDefault="00CD14E3">
      <w:pPr>
        <w:spacing w:after="338" w:line="259" w:lineRule="auto"/>
        <w:ind w:left="-5" w:right="0"/>
        <w:jc w:val="left"/>
      </w:pPr>
      <w:r>
        <w:rPr>
          <w:b/>
        </w:rPr>
        <w:t xml:space="preserve">PARTE I. MODELOS DE PROBABILIDAD  </w:t>
      </w:r>
    </w:p>
    <w:p w:rsidR="00D914EA" w:rsidRDefault="00CD14E3">
      <w:pPr>
        <w:spacing w:after="218" w:line="259" w:lineRule="auto"/>
        <w:ind w:left="-5" w:right="0"/>
        <w:jc w:val="left"/>
      </w:pPr>
      <w:r>
        <w:rPr>
          <w:b/>
        </w:rPr>
        <w:t xml:space="preserve">Tema 1. Probabilidad y variable aleatoria  </w:t>
      </w:r>
    </w:p>
    <w:p w:rsidR="00D914EA" w:rsidRDefault="00CD14E3">
      <w:pPr>
        <w:tabs>
          <w:tab w:val="center" w:pos="2076"/>
        </w:tabs>
        <w:ind w:left="-15" w:right="0" w:firstLine="0"/>
        <w:jc w:val="left"/>
      </w:pPr>
      <w:r>
        <w:t xml:space="preserve">1.1  </w:t>
      </w:r>
      <w:r>
        <w:tab/>
        <w:t xml:space="preserve">Concepto de probabilidad </w:t>
      </w:r>
    </w:p>
    <w:p w:rsidR="00D914EA" w:rsidRDefault="00CD14E3">
      <w:pPr>
        <w:tabs>
          <w:tab w:val="center" w:pos="2115"/>
        </w:tabs>
        <w:ind w:left="-15" w:right="0" w:firstLine="0"/>
        <w:jc w:val="left"/>
      </w:pPr>
      <w:r>
        <w:t xml:space="preserve">1.2  </w:t>
      </w:r>
      <w:r>
        <w:tab/>
        <w:t xml:space="preserve">Probabilidad condicionada </w:t>
      </w:r>
    </w:p>
    <w:p w:rsidR="00D914EA" w:rsidRDefault="00CD14E3">
      <w:pPr>
        <w:tabs>
          <w:tab w:val="center" w:pos="1721"/>
        </w:tabs>
        <w:ind w:left="-15" w:right="0" w:firstLine="0"/>
        <w:jc w:val="left"/>
      </w:pPr>
      <w:r>
        <w:t xml:space="preserve">1.3  </w:t>
      </w:r>
      <w:r>
        <w:tab/>
        <w:t xml:space="preserve">Teorema de Bayes </w:t>
      </w:r>
    </w:p>
    <w:p w:rsidR="00D914EA" w:rsidRDefault="00CD14E3">
      <w:pPr>
        <w:tabs>
          <w:tab w:val="center" w:pos="3796"/>
        </w:tabs>
        <w:ind w:left="-15" w:right="0" w:firstLine="0"/>
        <w:jc w:val="left"/>
      </w:pPr>
      <w:r>
        <w:t xml:space="preserve">1.4  </w:t>
      </w:r>
      <w:r>
        <w:tab/>
        <w:t xml:space="preserve">Estadística bayesiana: distribuciones a priori y a posteriori </w:t>
      </w:r>
    </w:p>
    <w:p w:rsidR="00D914EA" w:rsidRDefault="00CD14E3">
      <w:pPr>
        <w:tabs>
          <w:tab w:val="center" w:pos="3030"/>
        </w:tabs>
        <w:ind w:left="-15" w:right="0" w:firstLine="0"/>
        <w:jc w:val="left"/>
      </w:pPr>
      <w:r>
        <w:t xml:space="preserve">1.5  </w:t>
      </w:r>
      <w:r>
        <w:tab/>
        <w:t xml:space="preserve">Variables aleatorias (tipos y características) </w:t>
      </w:r>
    </w:p>
    <w:p w:rsidR="00D914EA" w:rsidRDefault="00CD14E3">
      <w:pPr>
        <w:tabs>
          <w:tab w:val="center" w:pos="2829"/>
        </w:tabs>
        <w:ind w:left="-15" w:right="0" w:firstLine="0"/>
        <w:jc w:val="left"/>
      </w:pPr>
      <w:r>
        <w:t xml:space="preserve">1.6  </w:t>
      </w:r>
      <w:r>
        <w:tab/>
        <w:t xml:space="preserve">Función de masa y función de densidad </w:t>
      </w:r>
    </w:p>
    <w:p w:rsidR="00D914EA" w:rsidRDefault="00CD14E3">
      <w:pPr>
        <w:tabs>
          <w:tab w:val="center" w:pos="1941"/>
        </w:tabs>
        <w:spacing w:after="355"/>
        <w:ind w:left="-15" w:right="0" w:firstLine="0"/>
        <w:jc w:val="left"/>
      </w:pPr>
      <w:r>
        <w:t xml:space="preserve">1.7  </w:t>
      </w:r>
      <w:r>
        <w:tab/>
        <w:t xml:space="preserve">Función de distribución </w:t>
      </w:r>
    </w:p>
    <w:p w:rsidR="00D914EA" w:rsidRDefault="00CD14E3">
      <w:pPr>
        <w:spacing w:after="218" w:line="259" w:lineRule="auto"/>
        <w:ind w:left="-5" w:right="0"/>
        <w:jc w:val="left"/>
      </w:pPr>
      <w:r>
        <w:rPr>
          <w:b/>
        </w:rPr>
        <w:t xml:space="preserve">Tema 2. Principales modelos de probabilidad </w:t>
      </w:r>
    </w:p>
    <w:p w:rsidR="00D914EA" w:rsidRDefault="00CD14E3">
      <w:pPr>
        <w:tabs>
          <w:tab w:val="center" w:pos="1676"/>
        </w:tabs>
        <w:ind w:left="-15" w:right="0" w:firstLine="0"/>
        <w:jc w:val="left"/>
      </w:pPr>
      <w:r>
        <w:t xml:space="preserve">2.1  </w:t>
      </w:r>
      <w:r>
        <w:tab/>
        <w:t xml:space="preserve">Modelos discretos </w:t>
      </w:r>
    </w:p>
    <w:p w:rsidR="00D914EA" w:rsidRDefault="00CD14E3">
      <w:pPr>
        <w:tabs>
          <w:tab w:val="center" w:pos="1709"/>
        </w:tabs>
        <w:ind w:left="-15" w:right="0" w:firstLine="0"/>
        <w:jc w:val="left"/>
      </w:pPr>
      <w:r>
        <w:t xml:space="preserve">2.2  </w:t>
      </w:r>
      <w:r>
        <w:tab/>
        <w:t xml:space="preserve">Modelos continuos </w:t>
      </w:r>
    </w:p>
    <w:p w:rsidR="00D914EA" w:rsidRDefault="00CD14E3">
      <w:pPr>
        <w:tabs>
          <w:tab w:val="center" w:pos="2095"/>
        </w:tabs>
        <w:ind w:left="-15" w:right="0" w:firstLine="0"/>
        <w:jc w:val="left"/>
      </w:pPr>
      <w:r>
        <w:t xml:space="preserve">2.3  </w:t>
      </w:r>
      <w:r>
        <w:tab/>
        <w:t xml:space="preserve">Teorema central del límite </w:t>
      </w:r>
    </w:p>
    <w:p w:rsidR="00D914EA" w:rsidRDefault="00CD14E3">
      <w:pPr>
        <w:tabs>
          <w:tab w:val="center" w:pos="2729"/>
        </w:tabs>
        <w:spacing w:after="475"/>
        <w:ind w:left="-15" w:right="0" w:firstLine="0"/>
        <w:jc w:val="left"/>
      </w:pPr>
      <w:r>
        <w:t xml:space="preserve">2.4  </w:t>
      </w:r>
      <w:r>
        <w:tab/>
        <w:t xml:space="preserve">Distribuciones derivadas de la Normal </w:t>
      </w:r>
    </w:p>
    <w:p w:rsidR="00D914EA" w:rsidRDefault="00CD14E3">
      <w:pPr>
        <w:spacing w:after="339" w:line="259" w:lineRule="auto"/>
        <w:ind w:left="-5" w:right="0"/>
        <w:jc w:val="left"/>
      </w:pPr>
      <w:r>
        <w:rPr>
          <w:b/>
        </w:rPr>
        <w:t xml:space="preserve">PARTE II. EL PROBLEMA DE LA INFERENCIA </w:t>
      </w:r>
    </w:p>
    <w:p w:rsidR="00D914EA" w:rsidRDefault="00CD14E3">
      <w:pPr>
        <w:spacing w:after="218" w:line="259" w:lineRule="auto"/>
        <w:ind w:left="-5" w:right="0"/>
        <w:jc w:val="left"/>
      </w:pPr>
      <w:r>
        <w:rPr>
          <w:b/>
        </w:rPr>
        <w:t xml:space="preserve">Tema 3. Inferencia paramétrica </w:t>
      </w:r>
    </w:p>
    <w:p w:rsidR="00D914EA" w:rsidRDefault="00CD14E3">
      <w:pPr>
        <w:tabs>
          <w:tab w:val="center" w:pos="3722"/>
        </w:tabs>
        <w:ind w:left="-15" w:right="0" w:firstLine="0"/>
        <w:jc w:val="left"/>
      </w:pPr>
      <w:r>
        <w:t xml:space="preserve">3.1  </w:t>
      </w:r>
      <w:r>
        <w:tab/>
        <w:t xml:space="preserve">Introducción y distribución de los principales estadísticos </w:t>
      </w:r>
    </w:p>
    <w:p w:rsidR="00D914EA" w:rsidRDefault="00CD14E3">
      <w:pPr>
        <w:tabs>
          <w:tab w:val="center" w:pos="1876"/>
        </w:tabs>
        <w:ind w:left="-15" w:right="0" w:firstLine="0"/>
        <w:jc w:val="left"/>
      </w:pPr>
      <w:r>
        <w:t xml:space="preserve">3.2  </w:t>
      </w:r>
      <w:r>
        <w:tab/>
        <w:t xml:space="preserve">Contrastes de medias </w:t>
      </w:r>
    </w:p>
    <w:p w:rsidR="00D914EA" w:rsidRDefault="00CD14E3">
      <w:pPr>
        <w:tabs>
          <w:tab w:val="center" w:pos="2183"/>
        </w:tabs>
        <w:ind w:left="-15" w:right="0" w:firstLine="0"/>
        <w:jc w:val="left"/>
      </w:pPr>
      <w:r>
        <w:t xml:space="preserve">3.3  </w:t>
      </w:r>
      <w:r>
        <w:tab/>
        <w:t xml:space="preserve">Contrastes de proporciones </w:t>
      </w:r>
    </w:p>
    <w:p w:rsidR="00D914EA" w:rsidRDefault="00CD14E3">
      <w:pPr>
        <w:tabs>
          <w:tab w:val="center" w:pos="2002"/>
        </w:tabs>
        <w:ind w:left="-15" w:right="0" w:firstLine="0"/>
        <w:jc w:val="left"/>
      </w:pPr>
      <w:r>
        <w:t xml:space="preserve">3.4  </w:t>
      </w:r>
      <w:r>
        <w:tab/>
        <w:t xml:space="preserve">Contrastes de varianzas </w:t>
      </w:r>
    </w:p>
    <w:p w:rsidR="00D914EA" w:rsidRDefault="00CD14E3">
      <w:pPr>
        <w:tabs>
          <w:tab w:val="center" w:pos="2636"/>
        </w:tabs>
        <w:ind w:left="-15" w:right="0" w:firstLine="0"/>
        <w:jc w:val="left"/>
      </w:pPr>
      <w:r>
        <w:t xml:space="preserve">3.5  </w:t>
      </w:r>
      <w:r>
        <w:tab/>
        <w:t xml:space="preserve">ANOVA de un factor. Modelo simple </w:t>
      </w:r>
    </w:p>
    <w:p w:rsidR="00D914EA" w:rsidRDefault="00CD14E3">
      <w:pPr>
        <w:tabs>
          <w:tab w:val="center" w:pos="2143"/>
        </w:tabs>
        <w:ind w:left="-15" w:right="0" w:firstLine="0"/>
        <w:jc w:val="left"/>
      </w:pPr>
      <w:r>
        <w:t xml:space="preserve">3.6  </w:t>
      </w:r>
      <w:r>
        <w:tab/>
        <w:t xml:space="preserve">ANOVA de varios factores. </w:t>
      </w:r>
    </w:p>
    <w:p w:rsidR="00D914EA" w:rsidRDefault="00CD14E3">
      <w:pPr>
        <w:spacing w:after="218" w:line="259" w:lineRule="auto"/>
        <w:ind w:left="-5" w:right="0"/>
        <w:jc w:val="left"/>
      </w:pPr>
      <w:r>
        <w:rPr>
          <w:b/>
        </w:rPr>
        <w:t xml:space="preserve">Tema 4. Inferencia no paramétrica </w:t>
      </w:r>
    </w:p>
    <w:p w:rsidR="00D914EA" w:rsidRDefault="00CD14E3">
      <w:pPr>
        <w:tabs>
          <w:tab w:val="center" w:pos="1362"/>
        </w:tabs>
        <w:ind w:left="-15" w:right="0" w:firstLine="0"/>
        <w:jc w:val="left"/>
      </w:pPr>
      <w:r>
        <w:t xml:space="preserve">4.1  </w:t>
      </w:r>
      <w:r>
        <w:tab/>
        <w:t xml:space="preserve">Introducción  </w:t>
      </w:r>
    </w:p>
    <w:p w:rsidR="00D914EA" w:rsidRDefault="00CD14E3">
      <w:pPr>
        <w:tabs>
          <w:tab w:val="center" w:pos="2410"/>
        </w:tabs>
        <w:ind w:left="-15" w:right="0" w:firstLine="0"/>
        <w:jc w:val="left"/>
      </w:pPr>
      <w:r>
        <w:t xml:space="preserve">4.2  </w:t>
      </w:r>
      <w:r>
        <w:tab/>
        <w:t xml:space="preserve">Contrastes de bondad de ajuste </w:t>
      </w:r>
    </w:p>
    <w:p w:rsidR="00D914EA" w:rsidRDefault="00CD14E3">
      <w:pPr>
        <w:tabs>
          <w:tab w:val="center" w:pos="2108"/>
        </w:tabs>
        <w:ind w:left="-15" w:right="0" w:firstLine="0"/>
        <w:jc w:val="left"/>
      </w:pPr>
      <w:r>
        <w:t xml:space="preserve">4.3  </w:t>
      </w:r>
      <w:r>
        <w:tab/>
        <w:t xml:space="preserve">Contrastes de localización </w:t>
      </w:r>
    </w:p>
    <w:p w:rsidR="00D914EA" w:rsidRDefault="00CD14E3">
      <w:pPr>
        <w:tabs>
          <w:tab w:val="center" w:pos="2490"/>
        </w:tabs>
        <w:ind w:left="-15" w:right="0" w:firstLine="0"/>
        <w:jc w:val="left"/>
      </w:pPr>
      <w:r>
        <w:t xml:space="preserve">4.4  </w:t>
      </w:r>
      <w:r>
        <w:tab/>
        <w:t xml:space="preserve">Comparación de dos poblaciones </w:t>
      </w:r>
    </w:p>
    <w:p w:rsidR="00D914EA" w:rsidRDefault="00CD14E3">
      <w:pPr>
        <w:tabs>
          <w:tab w:val="center" w:pos="2917"/>
        </w:tabs>
        <w:ind w:left="-15" w:right="0" w:firstLine="0"/>
        <w:jc w:val="left"/>
      </w:pPr>
      <w:r>
        <w:t xml:space="preserve">4.5  </w:t>
      </w:r>
      <w:r>
        <w:tab/>
        <w:t xml:space="preserve">Comparación de más de dos poblaciones </w:t>
      </w:r>
    </w:p>
    <w:p w:rsidR="00D914EA" w:rsidRDefault="00CD14E3">
      <w:pPr>
        <w:tabs>
          <w:tab w:val="center" w:pos="2048"/>
        </w:tabs>
        <w:spacing w:after="231"/>
        <w:ind w:left="-15" w:right="0" w:firstLine="0"/>
        <w:jc w:val="left"/>
      </w:pPr>
      <w:r>
        <w:t xml:space="preserve">4.6  </w:t>
      </w:r>
      <w:r>
        <w:tab/>
        <w:t xml:space="preserve">Medidas de dependencia </w:t>
      </w:r>
    </w:p>
    <w:p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:rsidR="00D914EA" w:rsidRDefault="00CD14E3">
      <w:pPr>
        <w:shd w:val="clear" w:color="auto" w:fill="006699"/>
        <w:spacing w:after="0" w:line="259" w:lineRule="auto"/>
        <w:ind w:right="845"/>
        <w:jc w:val="right"/>
      </w:pPr>
      <w:r>
        <w:rPr>
          <w:b/>
          <w:color w:val="FFFFFF"/>
        </w:rPr>
        <w:t xml:space="preserve">MATERIAL BIBLIOGRÁFICO Y OTROS RECURSOS DIDÁCTICOS </w:t>
      </w:r>
    </w:p>
    <w:tbl>
      <w:tblPr>
        <w:tblStyle w:val="TableGrid"/>
        <w:tblW w:w="9285" w:type="dxa"/>
        <w:tblInd w:w="-107" w:type="dxa"/>
        <w:tblCellMar>
          <w:top w:w="4" w:type="dxa"/>
          <w:bottom w:w="4" w:type="dxa"/>
          <w:right w:w="40" w:type="dxa"/>
        </w:tblCellMar>
        <w:tblLook w:val="04A0" w:firstRow="1" w:lastRow="0" w:firstColumn="1" w:lastColumn="0" w:noHBand="0" w:noVBand="1"/>
      </w:tblPr>
      <w:tblGrid>
        <w:gridCol w:w="467"/>
        <w:gridCol w:w="8818"/>
      </w:tblGrid>
      <w:tr w:rsidR="00D914EA">
        <w:trPr>
          <w:trHeight w:val="73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  <w:shd w:val="clear" w:color="auto" w:fill="FFCC66"/>
            <w:vAlign w:val="bottom"/>
          </w:tcPr>
          <w:p w:rsidR="00D914EA" w:rsidRDefault="00D914E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18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shd w:val="clear" w:color="auto" w:fill="FFCC66"/>
            <w:vAlign w:val="center"/>
          </w:tcPr>
          <w:p w:rsidR="00D914EA" w:rsidRDefault="00CD14E3">
            <w:pPr>
              <w:spacing w:after="0" w:line="259" w:lineRule="auto"/>
              <w:ind w:left="0" w:right="432" w:firstLine="0"/>
              <w:jc w:val="center"/>
            </w:pPr>
            <w:r>
              <w:rPr>
                <w:b/>
                <w:color w:val="000080"/>
              </w:rPr>
              <w:t xml:space="preserve">Bibliografía básica  </w:t>
            </w:r>
          </w:p>
        </w:tc>
      </w:tr>
      <w:tr w:rsidR="00D914EA">
        <w:trPr>
          <w:trHeight w:val="570"/>
        </w:trPr>
        <w:tc>
          <w:tcPr>
            <w:tcW w:w="467" w:type="dxa"/>
            <w:tcBorders>
              <w:top w:val="double" w:sz="4" w:space="0" w:color="000000"/>
              <w:left w:val="single" w:sz="4" w:space="0" w:color="000000"/>
              <w:bottom w:val="nil"/>
              <w:right w:val="nil"/>
            </w:tcBorders>
          </w:tcPr>
          <w:p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rFonts w:ascii="Wingdings" w:eastAsia="Wingdings" w:hAnsi="Wingdings" w:cs="Wingdings"/>
              </w:rPr>
              <w:t></w:t>
            </w:r>
            <w:r>
              <w:t xml:space="preserve"> </w:t>
            </w:r>
          </w:p>
        </w:tc>
        <w:tc>
          <w:tcPr>
            <w:tcW w:w="8818" w:type="dxa"/>
            <w:tcBorders>
              <w:top w:val="double" w:sz="4" w:space="0" w:color="000000"/>
              <w:left w:val="nil"/>
              <w:bottom w:val="nil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0" w:firstLine="0"/>
            </w:pPr>
            <w:r>
              <w:t xml:space="preserve">Casas Sánchez, José María (2000). Estadística I: Probabilidad y Distribuciones. Editorial Centro de Estudios Ramón Areces, S.A.  </w:t>
            </w:r>
          </w:p>
        </w:tc>
      </w:tr>
      <w:tr w:rsidR="00D914EA">
        <w:trPr>
          <w:trHeight w:val="276"/>
        </w:trPr>
        <w:tc>
          <w:tcPr>
            <w:tcW w:w="4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rFonts w:ascii="Wingdings" w:eastAsia="Wingdings" w:hAnsi="Wingdings" w:cs="Wingdings"/>
              </w:rPr>
              <w:lastRenderedPageBreak/>
              <w:t></w:t>
            </w:r>
            <w:r>
              <w:t xml:space="preserve"> </w:t>
            </w:r>
          </w:p>
        </w:tc>
        <w:tc>
          <w:tcPr>
            <w:tcW w:w="881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t xml:space="preserve">Casado, J. (2014). "Manual básico de estadística". INE. </w:t>
            </w:r>
          </w:p>
        </w:tc>
      </w:tr>
      <w:tr w:rsidR="00D914EA">
        <w:trPr>
          <w:trHeight w:val="828"/>
        </w:trPr>
        <w:tc>
          <w:tcPr>
            <w:tcW w:w="4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rFonts w:ascii="Wingdings" w:eastAsia="Wingdings" w:hAnsi="Wingdings" w:cs="Wingdings"/>
              </w:rPr>
              <w:t></w:t>
            </w:r>
            <w:r>
              <w:t xml:space="preserve"> </w:t>
            </w:r>
          </w:p>
        </w:tc>
        <w:tc>
          <w:tcPr>
            <w:tcW w:w="881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66" w:firstLine="0"/>
            </w:pPr>
            <w:r w:rsidRPr="00CD14E3">
              <w:rPr>
                <w:lang w:val="en-US"/>
              </w:rPr>
              <w:t xml:space="preserve">Gibbons, J.D. (1993). “Nonparametric Statistics: an Introduction”. Number 07-090 in Sage University Papers series on Quantitative Applications in the Social Sciences. </w:t>
            </w:r>
            <w:r>
              <w:t xml:space="preserve">Newbury Park, CA: Sage. </w:t>
            </w:r>
          </w:p>
        </w:tc>
      </w:tr>
      <w:tr w:rsidR="00D914EA">
        <w:trPr>
          <w:trHeight w:val="552"/>
        </w:trPr>
        <w:tc>
          <w:tcPr>
            <w:tcW w:w="4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rFonts w:ascii="Wingdings" w:eastAsia="Wingdings" w:hAnsi="Wingdings" w:cs="Wingdings"/>
              </w:rPr>
              <w:t></w:t>
            </w:r>
            <w:r>
              <w:t xml:space="preserve"> </w:t>
            </w:r>
          </w:p>
        </w:tc>
        <w:tc>
          <w:tcPr>
            <w:tcW w:w="881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0" w:firstLine="0"/>
            </w:pPr>
            <w:r>
              <w:t xml:space="preserve">Leach, C. (1982). Fundamentos de Estadística. Enfoque no paramétrico para ciencias sociales. Mexico: Limusa. </w:t>
            </w:r>
          </w:p>
        </w:tc>
      </w:tr>
      <w:tr w:rsidR="00D914EA">
        <w:trPr>
          <w:trHeight w:val="559"/>
        </w:trPr>
        <w:tc>
          <w:tcPr>
            <w:tcW w:w="4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rFonts w:ascii="Wingdings" w:eastAsia="Wingdings" w:hAnsi="Wingdings" w:cs="Wingdings"/>
              </w:rPr>
              <w:t></w:t>
            </w:r>
            <w:r>
              <w:t xml:space="preserve"> </w:t>
            </w:r>
          </w:p>
        </w:tc>
        <w:tc>
          <w:tcPr>
            <w:tcW w:w="8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0" w:firstLine="0"/>
            </w:pPr>
            <w:r w:rsidRPr="00CD14E3">
              <w:rPr>
                <w:lang w:val="en-US"/>
              </w:rPr>
              <w:t xml:space="preserve">Newbold, P., Carlson, W.L., y Thorne, B.M. (2013). </w:t>
            </w:r>
            <w:r>
              <w:t xml:space="preserve">"Estadística para administración y economía”. Pearson. </w:t>
            </w:r>
          </w:p>
        </w:tc>
      </w:tr>
      <w:tr w:rsidR="00D914EA">
        <w:trPr>
          <w:trHeight w:val="713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  <w:shd w:val="clear" w:color="auto" w:fill="FFCC66"/>
          </w:tcPr>
          <w:p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color w:val="000080"/>
              </w:rPr>
              <w:t xml:space="preserve"> </w:t>
            </w:r>
          </w:p>
        </w:tc>
        <w:tc>
          <w:tcPr>
            <w:tcW w:w="8818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shd w:val="clear" w:color="auto" w:fill="FFCC66"/>
            <w:vAlign w:val="bottom"/>
          </w:tcPr>
          <w:p w:rsidR="00D914EA" w:rsidRDefault="00CD14E3">
            <w:pPr>
              <w:spacing w:after="0" w:line="259" w:lineRule="auto"/>
              <w:ind w:left="0" w:right="428" w:firstLine="0"/>
              <w:jc w:val="center"/>
            </w:pPr>
            <w:r>
              <w:rPr>
                <w:b/>
                <w:color w:val="000080"/>
              </w:rPr>
              <w:t xml:space="preserve">Bibliografía complementaria </w:t>
            </w:r>
          </w:p>
        </w:tc>
      </w:tr>
      <w:tr w:rsidR="00D914EA">
        <w:trPr>
          <w:trHeight w:val="570"/>
        </w:trPr>
        <w:tc>
          <w:tcPr>
            <w:tcW w:w="467" w:type="dxa"/>
            <w:tcBorders>
              <w:top w:val="double" w:sz="4" w:space="0" w:color="000000"/>
              <w:left w:val="single" w:sz="4" w:space="0" w:color="000000"/>
              <w:bottom w:val="nil"/>
              <w:right w:val="nil"/>
            </w:tcBorders>
          </w:tcPr>
          <w:p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rFonts w:ascii="Wingdings" w:eastAsia="Wingdings" w:hAnsi="Wingdings" w:cs="Wingdings"/>
              </w:rPr>
              <w:t></w:t>
            </w:r>
            <w:r>
              <w:t xml:space="preserve"> </w:t>
            </w:r>
          </w:p>
        </w:tc>
        <w:tc>
          <w:tcPr>
            <w:tcW w:w="8818" w:type="dxa"/>
            <w:tcBorders>
              <w:top w:val="double" w:sz="4" w:space="0" w:color="000000"/>
              <w:left w:val="nil"/>
              <w:bottom w:val="nil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0" w:firstLine="0"/>
            </w:pPr>
            <w:r w:rsidRPr="00CD14E3">
              <w:rPr>
                <w:lang w:val="en-US"/>
              </w:rPr>
              <w:t xml:space="preserve">Crawshaw, J. and Chambers, J. (2002). A Concise Course in Advanced level Statistics. </w:t>
            </w:r>
            <w:r>
              <w:t xml:space="preserve">Fourth Edition. Stanley Thornes Ltd. </w:t>
            </w:r>
          </w:p>
        </w:tc>
      </w:tr>
      <w:tr w:rsidR="00D914EA">
        <w:trPr>
          <w:trHeight w:val="552"/>
        </w:trPr>
        <w:tc>
          <w:tcPr>
            <w:tcW w:w="4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rFonts w:ascii="Wingdings" w:eastAsia="Wingdings" w:hAnsi="Wingdings" w:cs="Wingdings"/>
              </w:rPr>
              <w:t></w:t>
            </w:r>
            <w:r>
              <w:t xml:space="preserve"> </w:t>
            </w:r>
          </w:p>
        </w:tc>
        <w:tc>
          <w:tcPr>
            <w:tcW w:w="881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0" w:firstLine="0"/>
            </w:pPr>
            <w:r w:rsidRPr="00CD14E3">
              <w:rPr>
                <w:lang w:val="en-US"/>
              </w:rPr>
              <w:t xml:space="preserve">Hair, J.F., Anderson, R.E., Tahtam, R.L. y Black, W.C. (1999). </w:t>
            </w:r>
            <w:r>
              <w:t xml:space="preserve">"Análisis Multivariante". Prentice Hall. </w:t>
            </w:r>
          </w:p>
        </w:tc>
      </w:tr>
      <w:tr w:rsidR="00D914EA">
        <w:trPr>
          <w:trHeight w:val="552"/>
        </w:trPr>
        <w:tc>
          <w:tcPr>
            <w:tcW w:w="4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rFonts w:ascii="Wingdings" w:eastAsia="Wingdings" w:hAnsi="Wingdings" w:cs="Wingdings"/>
              </w:rPr>
              <w:t></w:t>
            </w:r>
            <w:r>
              <w:t xml:space="preserve"> </w:t>
            </w:r>
          </w:p>
        </w:tc>
        <w:tc>
          <w:tcPr>
            <w:tcW w:w="881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0" w:firstLine="0"/>
            </w:pPr>
            <w:r>
              <w:t xml:space="preserve">Lévy, J-P., y Varela, J. (2003). “Análisis multivariable para las ciencias sociales”. Pearson. Prentice Hall. </w:t>
            </w:r>
          </w:p>
        </w:tc>
      </w:tr>
      <w:tr w:rsidR="00D914EA">
        <w:trPr>
          <w:trHeight w:val="550"/>
        </w:trPr>
        <w:tc>
          <w:tcPr>
            <w:tcW w:w="4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rFonts w:ascii="Wingdings" w:eastAsia="Wingdings" w:hAnsi="Wingdings" w:cs="Wingdings"/>
              </w:rPr>
              <w:t></w:t>
            </w:r>
            <w:r>
              <w:t xml:space="preserve"> </w:t>
            </w:r>
          </w:p>
        </w:tc>
        <w:tc>
          <w:tcPr>
            <w:tcW w:w="881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t xml:space="preserve">Luque, T. (2012). “Técnicas de Análisis de Datos en Investigación de Mercados”. Pirámide. </w:t>
            </w:r>
          </w:p>
        </w:tc>
      </w:tr>
      <w:tr w:rsidR="00D914EA">
        <w:trPr>
          <w:trHeight w:val="552"/>
        </w:trPr>
        <w:tc>
          <w:tcPr>
            <w:tcW w:w="4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rFonts w:ascii="Wingdings" w:eastAsia="Wingdings" w:hAnsi="Wingdings" w:cs="Wingdings"/>
              </w:rPr>
              <w:t></w:t>
            </w:r>
            <w:r>
              <w:t xml:space="preserve"> </w:t>
            </w:r>
          </w:p>
        </w:tc>
        <w:tc>
          <w:tcPr>
            <w:tcW w:w="881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0" w:firstLine="0"/>
            </w:pPr>
            <w:r>
              <w:t xml:space="preserve">Mateo-Aparicio, G. y Dávila, M. (2002). “Análisis de la Varianza en la Investigación Comercial”. Pearson Educación. </w:t>
            </w:r>
          </w:p>
        </w:tc>
      </w:tr>
      <w:tr w:rsidR="00D914EA">
        <w:trPr>
          <w:trHeight w:val="276"/>
        </w:trPr>
        <w:tc>
          <w:tcPr>
            <w:tcW w:w="4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rFonts w:ascii="Wingdings" w:eastAsia="Wingdings" w:hAnsi="Wingdings" w:cs="Wingdings"/>
              </w:rPr>
              <w:t></w:t>
            </w:r>
            <w:r>
              <w:t xml:space="preserve"> </w:t>
            </w:r>
          </w:p>
        </w:tc>
        <w:tc>
          <w:tcPr>
            <w:tcW w:w="881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t xml:space="preserve">Ruíz-Maya, L., y Martín-Pliego, F.J. (1997). “Estadística I: Probabilidad”. AC </w:t>
            </w:r>
          </w:p>
        </w:tc>
      </w:tr>
      <w:tr w:rsidR="00D914EA">
        <w:trPr>
          <w:trHeight w:val="779"/>
        </w:trPr>
        <w:tc>
          <w:tcPr>
            <w:tcW w:w="4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rFonts w:ascii="Wingdings" w:eastAsia="Wingdings" w:hAnsi="Wingdings" w:cs="Wingdings"/>
              </w:rPr>
              <w:t></w:t>
            </w:r>
            <w:r>
              <w:t xml:space="preserve"> </w:t>
            </w:r>
          </w:p>
        </w:tc>
        <w:tc>
          <w:tcPr>
            <w:tcW w:w="8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t xml:space="preserve">Ruíz-Maya, L., y Martín-Pliego, F.J. (2005). “Fundamentos de inferencia estadística”. Thomson-Paraninfo. </w:t>
            </w:r>
          </w:p>
        </w:tc>
      </w:tr>
      <w:tr w:rsidR="00D914EA">
        <w:trPr>
          <w:trHeight w:val="735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  <w:shd w:val="clear" w:color="auto" w:fill="FFCC66"/>
          </w:tcPr>
          <w:p w:rsidR="00D914EA" w:rsidRDefault="00D914E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18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shd w:val="clear" w:color="auto" w:fill="FFCC66"/>
            <w:vAlign w:val="center"/>
          </w:tcPr>
          <w:p w:rsidR="00D914EA" w:rsidRDefault="00CD14E3">
            <w:pPr>
              <w:spacing w:after="0" w:line="259" w:lineRule="auto"/>
              <w:ind w:left="0" w:right="429" w:firstLine="0"/>
              <w:jc w:val="center"/>
            </w:pPr>
            <w:r>
              <w:rPr>
                <w:b/>
                <w:color w:val="000080"/>
              </w:rPr>
              <w:t xml:space="preserve">Otros recursos </w:t>
            </w:r>
            <w:r>
              <w:rPr>
                <w:color w:val="231F20"/>
              </w:rPr>
              <w:t xml:space="preserve"> </w:t>
            </w:r>
          </w:p>
        </w:tc>
      </w:tr>
      <w:tr w:rsidR="00D914EA">
        <w:trPr>
          <w:trHeight w:val="294"/>
        </w:trPr>
        <w:tc>
          <w:tcPr>
            <w:tcW w:w="467" w:type="dxa"/>
            <w:tcBorders>
              <w:top w:val="double" w:sz="4" w:space="0" w:color="000000"/>
              <w:left w:val="single" w:sz="4" w:space="0" w:color="000000"/>
              <w:bottom w:val="nil"/>
              <w:right w:val="nil"/>
            </w:tcBorders>
          </w:tcPr>
          <w:p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rFonts w:ascii="Wingdings" w:eastAsia="Wingdings" w:hAnsi="Wingdings" w:cs="Wingdings"/>
              </w:rPr>
              <w:t></w:t>
            </w:r>
            <w:r>
              <w:t xml:space="preserve"> </w:t>
            </w:r>
          </w:p>
        </w:tc>
        <w:tc>
          <w:tcPr>
            <w:tcW w:w="8818" w:type="dxa"/>
            <w:tcBorders>
              <w:top w:val="double" w:sz="4" w:space="0" w:color="000000"/>
              <w:left w:val="nil"/>
              <w:bottom w:val="nil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t xml:space="preserve">Campus Virtual. </w:t>
            </w:r>
          </w:p>
        </w:tc>
      </w:tr>
      <w:tr w:rsidR="00D914EA">
        <w:trPr>
          <w:trHeight w:val="276"/>
        </w:trPr>
        <w:tc>
          <w:tcPr>
            <w:tcW w:w="4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rFonts w:ascii="Wingdings" w:eastAsia="Wingdings" w:hAnsi="Wingdings" w:cs="Wingdings"/>
              </w:rPr>
              <w:t></w:t>
            </w:r>
            <w:r>
              <w:t xml:space="preserve"> </w:t>
            </w:r>
          </w:p>
        </w:tc>
        <w:tc>
          <w:tcPr>
            <w:tcW w:w="881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t xml:space="preserve">Videoconferencias con Collaborate (clases online) </w:t>
            </w:r>
          </w:p>
        </w:tc>
      </w:tr>
      <w:tr w:rsidR="00D914EA">
        <w:trPr>
          <w:trHeight w:val="281"/>
        </w:trPr>
        <w:tc>
          <w:tcPr>
            <w:tcW w:w="4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rFonts w:ascii="Wingdings" w:eastAsia="Wingdings" w:hAnsi="Wingdings" w:cs="Wingdings"/>
              </w:rPr>
              <w:t></w:t>
            </w:r>
            <w:r>
              <w:t xml:space="preserve"> </w:t>
            </w:r>
          </w:p>
        </w:tc>
        <w:tc>
          <w:tcPr>
            <w:tcW w:w="8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t>Paquete estadístico R y SPSS.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D914EA" w:rsidRDefault="00CD14E3">
      <w:pPr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</w:p>
    <w:p w:rsidR="00D914EA" w:rsidRDefault="00CD14E3">
      <w:pPr>
        <w:spacing w:after="0" w:line="259" w:lineRule="auto"/>
        <w:ind w:left="0" w:right="0" w:firstLine="0"/>
        <w:jc w:val="left"/>
      </w:pPr>
      <w:r>
        <w:t xml:space="preserve"> </w:t>
      </w:r>
    </w:p>
    <w:p w:rsidR="00D914EA" w:rsidRDefault="00CD14E3">
      <w:pPr>
        <w:shd w:val="clear" w:color="auto" w:fill="006699"/>
        <w:spacing w:after="0" w:line="259" w:lineRule="auto"/>
        <w:ind w:right="2010"/>
        <w:jc w:val="right"/>
      </w:pPr>
      <w:r>
        <w:rPr>
          <w:b/>
          <w:color w:val="FFFFFF"/>
        </w:rPr>
        <w:t xml:space="preserve">GESTIÓN DEL PROCESO DE APRENDIZAJE </w:t>
      </w:r>
    </w:p>
    <w:tbl>
      <w:tblPr>
        <w:tblStyle w:val="TableGrid"/>
        <w:tblW w:w="9285" w:type="dxa"/>
        <w:tblInd w:w="-107" w:type="dxa"/>
        <w:tblCellMar>
          <w:top w:w="33" w:type="dxa"/>
          <w:left w:w="107" w:type="dxa"/>
          <w:bottom w:w="2" w:type="dxa"/>
          <w:right w:w="53" w:type="dxa"/>
        </w:tblCellMar>
        <w:tblLook w:val="04A0" w:firstRow="1" w:lastRow="0" w:firstColumn="1" w:lastColumn="0" w:noHBand="0" w:noVBand="1"/>
      </w:tblPr>
      <w:tblGrid>
        <w:gridCol w:w="6771"/>
        <w:gridCol w:w="2514"/>
      </w:tblGrid>
      <w:tr w:rsidR="00D914EA">
        <w:trPr>
          <w:trHeight w:val="440"/>
        </w:trPr>
        <w:tc>
          <w:tcPr>
            <w:tcW w:w="9285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CC66"/>
          </w:tcPr>
          <w:p w:rsidR="00D914EA" w:rsidRDefault="00CD14E3">
            <w:pPr>
              <w:spacing w:after="28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rPr>
                <w:b/>
                <w:color w:val="000080"/>
                <w:sz w:val="16"/>
              </w:rPr>
              <w:t xml:space="preserve"> </w:t>
            </w:r>
          </w:p>
          <w:p w:rsidR="00D914EA" w:rsidRDefault="00CD14E3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0"/>
              </w:rPr>
              <w:t>ACTIVIDADES PRESENCIALES DE ALUMNOS/AS Y PROFESORES/AS</w:t>
            </w:r>
            <w:r>
              <w:rPr>
                <w:color w:val="000080"/>
              </w:rPr>
              <w:t xml:space="preserve">  </w:t>
            </w:r>
          </w:p>
        </w:tc>
      </w:tr>
      <w:tr w:rsidR="00D914EA">
        <w:trPr>
          <w:trHeight w:val="622"/>
        </w:trPr>
        <w:tc>
          <w:tcPr>
            <w:tcW w:w="6771" w:type="dxa"/>
            <w:tcBorders>
              <w:top w:val="double" w:sz="4" w:space="0" w:color="00000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bottom"/>
          </w:tcPr>
          <w:p w:rsidR="00D914EA" w:rsidRPr="00710595" w:rsidRDefault="00CD14E3">
            <w:pPr>
              <w:spacing w:after="0" w:line="259" w:lineRule="auto"/>
              <w:ind w:left="0" w:right="0" w:firstLine="0"/>
              <w:jc w:val="left"/>
              <w:rPr>
                <w:rFonts w:ascii="Arial Narrow" w:hAnsi="Arial Narrow"/>
                <w:color w:val="000080"/>
              </w:rPr>
            </w:pPr>
            <w:r w:rsidRPr="00710595">
              <w:rPr>
                <w:rFonts w:ascii="Arial Narrow" w:hAnsi="Arial Narrow"/>
                <w:color w:val="000080"/>
              </w:rPr>
              <w:t>Seleccione las técnicas que va a utilizar en el desarrollo de su asignatura. Puede añadir otras o sustituir las que aparecen como ejemplos:</w:t>
            </w:r>
            <w:r w:rsidRPr="00710595">
              <w:rPr>
                <w:rFonts w:ascii="Arial Narrow" w:hAnsi="Arial Narrow"/>
                <w:b/>
                <w:color w:val="000080"/>
              </w:rPr>
              <w:t xml:space="preserve"> </w:t>
            </w:r>
          </w:p>
        </w:tc>
        <w:tc>
          <w:tcPr>
            <w:tcW w:w="2514" w:type="dxa"/>
            <w:tcBorders>
              <w:top w:val="double" w:sz="4" w:space="0" w:color="000000"/>
              <w:left w:val="single" w:sz="4" w:space="0" w:color="C0C0C0"/>
              <w:bottom w:val="single" w:sz="4" w:space="0" w:color="C0C0C0"/>
              <w:right w:val="single" w:sz="4" w:space="0" w:color="000000"/>
            </w:tcBorders>
            <w:shd w:val="clear" w:color="auto" w:fill="CCECFF"/>
          </w:tcPr>
          <w:p w:rsidR="00D914EA" w:rsidRDefault="00CD14E3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</w:rPr>
              <w:t>Horas previstas</w:t>
            </w:r>
            <w:r>
              <w:t xml:space="preserve"> </w:t>
            </w:r>
          </w:p>
        </w:tc>
      </w:tr>
      <w:tr w:rsidR="00D914EA">
        <w:trPr>
          <w:trHeight w:val="370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bottom"/>
          </w:tcPr>
          <w:p w:rsidR="00D914EA" w:rsidRPr="00710595" w:rsidRDefault="00CD14E3">
            <w:pPr>
              <w:spacing w:after="0" w:line="259" w:lineRule="auto"/>
              <w:ind w:left="0" w:right="0" w:firstLine="0"/>
              <w:jc w:val="left"/>
              <w:rPr>
                <w:rFonts w:ascii="Arial Narrow" w:hAnsi="Arial Narrow"/>
                <w:color w:val="000000" w:themeColor="text1"/>
              </w:rPr>
            </w:pPr>
            <w:r w:rsidRPr="00710595">
              <w:rPr>
                <w:rFonts w:ascii="Arial Narrow" w:hAnsi="Arial Narrow"/>
                <w:color w:val="000000" w:themeColor="text1"/>
              </w:rPr>
              <w:t xml:space="preserve">Sesiones académicas teóricas </w:t>
            </w:r>
          </w:p>
        </w:tc>
        <w:tc>
          <w:tcPr>
            <w:tcW w:w="2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:rsidR="00D914EA" w:rsidRDefault="00D914EA">
            <w:pPr>
              <w:spacing w:after="0" w:line="259" w:lineRule="auto"/>
              <w:ind w:left="0" w:right="54" w:firstLine="0"/>
              <w:jc w:val="center"/>
            </w:pPr>
          </w:p>
        </w:tc>
      </w:tr>
      <w:tr w:rsidR="00D914EA">
        <w:trPr>
          <w:trHeight w:val="370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bottom"/>
          </w:tcPr>
          <w:p w:rsidR="00D914EA" w:rsidRPr="00710595" w:rsidRDefault="00CD14E3">
            <w:pPr>
              <w:spacing w:after="0" w:line="259" w:lineRule="auto"/>
              <w:ind w:left="0" w:right="0" w:firstLine="0"/>
              <w:jc w:val="left"/>
              <w:rPr>
                <w:rFonts w:ascii="Arial Narrow" w:hAnsi="Arial Narrow"/>
                <w:color w:val="000000" w:themeColor="text1"/>
              </w:rPr>
            </w:pPr>
            <w:r w:rsidRPr="00710595">
              <w:rPr>
                <w:rFonts w:ascii="Arial Narrow" w:hAnsi="Arial Narrow"/>
                <w:color w:val="000000" w:themeColor="text1"/>
              </w:rPr>
              <w:t xml:space="preserve">Sesiones académicas de problemas </w:t>
            </w:r>
          </w:p>
        </w:tc>
        <w:tc>
          <w:tcPr>
            <w:tcW w:w="2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:rsidR="00D914EA" w:rsidRDefault="00D914EA">
            <w:pPr>
              <w:spacing w:after="0" w:line="259" w:lineRule="auto"/>
              <w:ind w:left="0" w:right="54" w:firstLine="0"/>
              <w:jc w:val="center"/>
            </w:pPr>
          </w:p>
        </w:tc>
      </w:tr>
      <w:tr w:rsidR="00D914EA">
        <w:trPr>
          <w:trHeight w:val="371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bottom"/>
          </w:tcPr>
          <w:p w:rsidR="00D914EA" w:rsidRPr="00710595" w:rsidRDefault="00CD14E3">
            <w:pPr>
              <w:spacing w:after="0" w:line="259" w:lineRule="auto"/>
              <w:ind w:left="0" w:right="0" w:firstLine="0"/>
              <w:jc w:val="left"/>
              <w:rPr>
                <w:rFonts w:ascii="Arial Narrow" w:hAnsi="Arial Narrow"/>
                <w:color w:val="000000" w:themeColor="text1"/>
              </w:rPr>
            </w:pPr>
            <w:r w:rsidRPr="00710595">
              <w:rPr>
                <w:rFonts w:ascii="Arial Narrow" w:hAnsi="Arial Narrow"/>
                <w:color w:val="000000" w:themeColor="text1"/>
              </w:rPr>
              <w:t xml:space="preserve">Tutorías Individuales y grupales </w:t>
            </w:r>
          </w:p>
        </w:tc>
        <w:tc>
          <w:tcPr>
            <w:tcW w:w="2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:rsidR="00D914EA" w:rsidRDefault="00D914EA">
            <w:pPr>
              <w:spacing w:after="0" w:line="259" w:lineRule="auto"/>
              <w:ind w:left="0" w:right="54" w:firstLine="0"/>
              <w:jc w:val="center"/>
            </w:pPr>
          </w:p>
        </w:tc>
      </w:tr>
      <w:tr w:rsidR="00D914EA">
        <w:trPr>
          <w:trHeight w:val="431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D914EA" w:rsidRPr="00710595" w:rsidRDefault="00CD14E3">
            <w:pPr>
              <w:spacing w:after="0" w:line="259" w:lineRule="auto"/>
              <w:ind w:left="0" w:right="0" w:firstLine="0"/>
              <w:jc w:val="left"/>
              <w:rPr>
                <w:rFonts w:ascii="Arial Narrow" w:hAnsi="Arial Narrow"/>
                <w:color w:val="000000" w:themeColor="text1"/>
              </w:rPr>
            </w:pPr>
            <w:r w:rsidRPr="00710595">
              <w:rPr>
                <w:rFonts w:ascii="Arial Narrow" w:hAnsi="Arial Narrow"/>
                <w:color w:val="000000" w:themeColor="text1"/>
              </w:rPr>
              <w:t xml:space="preserve">Presentaciones y debates </w:t>
            </w:r>
          </w:p>
        </w:tc>
        <w:tc>
          <w:tcPr>
            <w:tcW w:w="2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:rsidR="00D914EA" w:rsidRDefault="00D914EA">
            <w:pPr>
              <w:spacing w:after="0" w:line="259" w:lineRule="auto"/>
              <w:ind w:left="0" w:right="54" w:firstLine="0"/>
              <w:jc w:val="center"/>
            </w:pPr>
          </w:p>
        </w:tc>
      </w:tr>
      <w:tr w:rsidR="00D914EA">
        <w:trPr>
          <w:trHeight w:val="428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D914EA" w:rsidRDefault="00CD14E3" w:rsidP="00710595">
            <w:pPr>
              <w:spacing w:after="0" w:line="259" w:lineRule="auto"/>
              <w:ind w:left="0" w:right="58" w:firstLine="0"/>
              <w:jc w:val="left"/>
            </w:pPr>
            <w:r>
              <w:rPr>
                <w:b/>
                <w:color w:val="000080"/>
              </w:rPr>
              <w:t xml:space="preserve">TOTAL DE HORAS PRESENCIALES </w:t>
            </w:r>
          </w:p>
        </w:tc>
        <w:tc>
          <w:tcPr>
            <w:tcW w:w="2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:rsidR="00D914EA" w:rsidRPr="00852D0C" w:rsidRDefault="00852D0C">
            <w:pPr>
              <w:spacing w:after="0" w:line="259" w:lineRule="auto"/>
              <w:ind w:left="0" w:right="54" w:firstLine="0"/>
              <w:jc w:val="center"/>
              <w:rPr>
                <w:b/>
              </w:rPr>
            </w:pPr>
            <w:r w:rsidRPr="00852D0C">
              <w:rPr>
                <w:b/>
              </w:rPr>
              <w:t>24 horas</w:t>
            </w:r>
          </w:p>
        </w:tc>
      </w:tr>
    </w:tbl>
    <w:p w:rsidR="00852D0C" w:rsidRDefault="00852D0C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852D0C" w:rsidRDefault="00852D0C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852D0C" w:rsidRDefault="00852D0C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852D0C" w:rsidRDefault="00852D0C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852D0C" w:rsidRDefault="00852D0C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852D0C" w:rsidRDefault="00852D0C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852D0C" w:rsidRDefault="00852D0C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D914EA" w:rsidRDefault="00CD14E3">
      <w:pPr>
        <w:spacing w:after="0" w:line="259" w:lineRule="auto"/>
        <w:ind w:left="0" w:right="0" w:firstLine="0"/>
        <w:jc w:val="left"/>
      </w:pPr>
      <w:bookmarkStart w:id="0" w:name="_GoBack"/>
      <w:bookmarkEnd w:id="0"/>
      <w:r>
        <w:rPr>
          <w:sz w:val="16"/>
        </w:rPr>
        <w:t xml:space="preserve"> </w:t>
      </w:r>
    </w:p>
    <w:p w:rsidR="00D914EA" w:rsidRDefault="00CD14E3">
      <w:pPr>
        <w:spacing w:after="0" w:line="259" w:lineRule="auto"/>
        <w:ind w:left="0" w:right="0" w:firstLine="0"/>
        <w:jc w:val="left"/>
      </w:pPr>
      <w:r>
        <w:rPr>
          <w:sz w:val="16"/>
        </w:rPr>
        <w:t xml:space="preserve"> </w:t>
      </w:r>
      <w:r>
        <w:rPr>
          <w:sz w:val="16"/>
        </w:rPr>
        <w:tab/>
        <w:t xml:space="preserve"> </w:t>
      </w:r>
    </w:p>
    <w:p w:rsidR="00D914EA" w:rsidRDefault="00CD14E3">
      <w:pPr>
        <w:spacing w:after="60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D914EA" w:rsidRDefault="00CD14E3">
      <w:pPr>
        <w:pStyle w:val="Ttulo1"/>
        <w:ind w:right="4"/>
      </w:pPr>
      <w:r>
        <w:t xml:space="preserve">EVALUACIÓN (detallar % de la nota según las actividades) 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299"/>
        <w:gridCol w:w="2762"/>
      </w:tblGrid>
      <w:tr w:rsidR="00852D0C" w:rsidRPr="00D32CA6" w:rsidTr="00DF5E10">
        <w:trPr>
          <w:trHeight w:val="345"/>
        </w:trPr>
        <w:tc>
          <w:tcPr>
            <w:tcW w:w="3476" w:type="pct"/>
            <w:tcBorders>
              <w:top w:val="double" w:sz="4" w:space="0" w:color="auto"/>
              <w:right w:val="single" w:sz="4" w:space="0" w:color="auto"/>
            </w:tcBorders>
            <w:shd w:val="clear" w:color="auto" w:fill="CCECFF"/>
          </w:tcPr>
          <w:p w:rsidR="00852D0C" w:rsidRPr="00D32CA6" w:rsidRDefault="00CD14E3" w:rsidP="00DF5E10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 w:rsidR="00852D0C">
              <w:rPr>
                <w:rFonts w:ascii="Arial Narrow" w:hAnsi="Arial Narrow"/>
                <w:b/>
                <w:color w:val="000080"/>
              </w:rPr>
              <w:t>Actividades que serán evaluadas (ejemplos)</w:t>
            </w:r>
          </w:p>
        </w:tc>
        <w:tc>
          <w:tcPr>
            <w:tcW w:w="1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852D0C" w:rsidRPr="00D32CA6" w:rsidRDefault="00852D0C" w:rsidP="00DF5E10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Calificación (% n</w:t>
            </w:r>
            <w:r w:rsidRPr="00D32CA6">
              <w:rPr>
                <w:rFonts w:ascii="Arial Narrow" w:hAnsi="Arial Narrow"/>
                <w:b/>
                <w:color w:val="000080"/>
              </w:rPr>
              <w:t>ota final)</w:t>
            </w:r>
          </w:p>
        </w:tc>
      </w:tr>
      <w:tr w:rsidR="00852D0C" w:rsidRPr="00D32CA6" w:rsidTr="00DF5E10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852D0C" w:rsidRPr="00D32CA6" w:rsidRDefault="00852D0C" w:rsidP="00DF5E10">
            <w:pPr>
              <w:spacing w:before="120" w:after="120" w:line="240" w:lineRule="exact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Realización de un trabajo que resuma las competencias adquiridas durante el curso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852D0C" w:rsidRPr="00D32CA6" w:rsidRDefault="00852D0C" w:rsidP="00DF5E1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</w:p>
        </w:tc>
      </w:tr>
      <w:tr w:rsidR="00852D0C" w:rsidRPr="00D32CA6" w:rsidTr="00DF5E10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852D0C" w:rsidRPr="00D32CA6" w:rsidRDefault="00852D0C" w:rsidP="00DF5E10">
            <w:pPr>
              <w:spacing w:before="120" w:after="120" w:line="240" w:lineRule="exact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Participación activa y respetuosa en el desarrollo de la clase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852D0C" w:rsidRPr="00D32CA6" w:rsidRDefault="00852D0C" w:rsidP="00DF5E1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</w:p>
        </w:tc>
      </w:tr>
      <w:tr w:rsidR="00852D0C" w:rsidTr="00DF5E10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852D0C" w:rsidRPr="00D32CA6" w:rsidRDefault="00852D0C" w:rsidP="00DF5E10">
            <w:pPr>
              <w:spacing w:before="120" w:after="120" w:line="240" w:lineRule="exact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Resolución de casos prácticos propuestos por el profesor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852D0C" w:rsidRDefault="00852D0C" w:rsidP="00DF5E1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</w:p>
        </w:tc>
      </w:tr>
      <w:tr w:rsidR="00852D0C" w:rsidTr="00DF5E10">
        <w:trPr>
          <w:trHeight w:val="56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852D0C" w:rsidRDefault="00852D0C" w:rsidP="00DF5E10">
            <w:pPr>
              <w:spacing w:before="120" w:after="120" w:line="240" w:lineRule="exact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Evaluación continua atendiendo a los resultados de las adquisiciones de competencias prácticas y teóricas vinculadas a las materias del máster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852D0C" w:rsidRDefault="00852D0C" w:rsidP="00DF5E1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</w:p>
        </w:tc>
      </w:tr>
      <w:tr w:rsidR="00852D0C" w:rsidTr="00DF5E10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852D0C" w:rsidRDefault="00852D0C" w:rsidP="00DF5E10">
            <w:pPr>
              <w:spacing w:before="120" w:after="120" w:line="240" w:lineRule="exact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Realización de una prueba escrita final que no puede ser, en ningún caso, el único procedimiento de evaluación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852D0C" w:rsidRDefault="00852D0C" w:rsidP="00DF5E1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</w:p>
        </w:tc>
      </w:tr>
    </w:tbl>
    <w:p w:rsidR="00D914EA" w:rsidRDefault="00CD14E3" w:rsidP="00AE2CD5">
      <w:pPr>
        <w:spacing w:after="58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D914EA">
      <w:headerReference w:type="even" r:id="rId7"/>
      <w:headerReference w:type="default" r:id="rId8"/>
      <w:headerReference w:type="first" r:id="rId9"/>
      <w:pgSz w:w="11906" w:h="16838"/>
      <w:pgMar w:top="1420" w:right="1416" w:bottom="1534" w:left="1419" w:header="71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079" w:rsidRDefault="001B5079">
      <w:pPr>
        <w:spacing w:after="0" w:line="240" w:lineRule="auto"/>
      </w:pPr>
      <w:r>
        <w:separator/>
      </w:r>
    </w:p>
  </w:endnote>
  <w:endnote w:type="continuationSeparator" w:id="0">
    <w:p w:rsidR="001B5079" w:rsidRDefault="001B5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079" w:rsidRDefault="001B5079">
      <w:pPr>
        <w:spacing w:after="0" w:line="240" w:lineRule="auto"/>
      </w:pPr>
      <w:r>
        <w:separator/>
      </w:r>
    </w:p>
  </w:footnote>
  <w:footnote w:type="continuationSeparator" w:id="0">
    <w:p w:rsidR="001B5079" w:rsidRDefault="001B5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4EA" w:rsidRDefault="00CD14E3">
    <w:pPr>
      <w:spacing w:after="0" w:line="259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D914EA" w:rsidRDefault="00CD14E3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4EA" w:rsidRDefault="00CD14E3">
    <w:pPr>
      <w:spacing w:after="0" w:line="259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01DF" w:rsidRPr="00EC01DF">
      <w:rPr>
        <w:rFonts w:ascii="Times New Roman" w:eastAsia="Times New Roman" w:hAnsi="Times New Roman" w:cs="Times New Roman"/>
        <w:noProof/>
      </w:rPr>
      <w:t>6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D914EA" w:rsidRDefault="00CD14E3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4EA" w:rsidRDefault="00CD14E3">
    <w:pPr>
      <w:spacing w:after="0" w:line="259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D914EA" w:rsidRDefault="00CD14E3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17B67"/>
    <w:multiLevelType w:val="hybridMultilevel"/>
    <w:tmpl w:val="D1625B7C"/>
    <w:lvl w:ilvl="0" w:tplc="120E1CA2">
      <w:start w:val="1"/>
      <w:numFmt w:val="bullet"/>
      <w:lvlText w:val="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56BDC2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1C7B3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406E0C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94983E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1E9542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0AAD44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7615A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F04730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4EA"/>
    <w:rsid w:val="000D0BDA"/>
    <w:rsid w:val="001B5079"/>
    <w:rsid w:val="002E6380"/>
    <w:rsid w:val="0044401B"/>
    <w:rsid w:val="005D1F26"/>
    <w:rsid w:val="005D2FE4"/>
    <w:rsid w:val="006E7EC5"/>
    <w:rsid w:val="00710595"/>
    <w:rsid w:val="00852D0C"/>
    <w:rsid w:val="00945E90"/>
    <w:rsid w:val="00A64883"/>
    <w:rsid w:val="00AE2CD5"/>
    <w:rsid w:val="00BB6EFA"/>
    <w:rsid w:val="00CD14E3"/>
    <w:rsid w:val="00D914EA"/>
    <w:rsid w:val="00DB5E04"/>
    <w:rsid w:val="00EC01DF"/>
    <w:rsid w:val="00F16617"/>
    <w:rsid w:val="00F8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A88006-9E27-4AF9-849F-3A48C764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50" w:lineRule="auto"/>
      <w:ind w:left="10" w:right="3" w:hanging="10"/>
      <w:jc w:val="both"/>
    </w:pPr>
    <w:rPr>
      <w:rFonts w:ascii="Arial" w:eastAsia="Arial" w:hAnsi="Arial" w:cs="Arial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hd w:val="clear" w:color="auto" w:fill="006699"/>
      <w:spacing w:after="0"/>
      <w:ind w:left="10" w:right="5" w:hanging="10"/>
      <w:jc w:val="center"/>
      <w:outlineLvl w:val="0"/>
    </w:pPr>
    <w:rPr>
      <w:rFonts w:ascii="Arial" w:eastAsia="Arial" w:hAnsi="Arial" w:cs="Arial"/>
      <w:b/>
      <w:color w:val="FFFFF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FFFFFF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1465</Words>
  <Characters>8061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FICHAS DE LAS ASIGNATURAS</vt:lpstr>
    </vt:vector>
  </TitlesOfParts>
  <Company/>
  <LinksUpToDate>false</LinksUpToDate>
  <CharactersWithSpaces>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FICHAS DE LAS ASIGNATURAS</dc:title>
  <dc:subject/>
  <dc:creator>aDELA</dc:creator>
  <cp:keywords/>
  <cp:lastModifiedBy>Maria</cp:lastModifiedBy>
  <cp:revision>2</cp:revision>
  <dcterms:created xsi:type="dcterms:W3CDTF">2022-07-15T07:53:00Z</dcterms:created>
  <dcterms:modified xsi:type="dcterms:W3CDTF">2022-07-15T07:53:00Z</dcterms:modified>
</cp:coreProperties>
</file>